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E2E0F" w14:textId="0F887708" w:rsidR="005D61A7" w:rsidRDefault="00ED4B62" w:rsidP="00ED4B6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D4B62">
        <w:rPr>
          <w:rFonts w:ascii="Times New Roman" w:hAnsi="Times New Roman" w:cs="Times New Roman"/>
          <w:b/>
          <w:bCs/>
          <w:sz w:val="20"/>
          <w:szCs w:val="20"/>
        </w:rPr>
        <w:t>Supplementary Table S1. Detailed Assessment Items and Recommended Measurement Tools for Each Domain of the 5M Framework for Older Adults with Multiple Myeloma (5M-OMM)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811"/>
        <w:gridCol w:w="2827"/>
        <w:gridCol w:w="2856"/>
      </w:tblGrid>
      <w:tr w:rsidR="005D61A7" w:rsidRPr="006C075B" w14:paraId="4DA73408" w14:textId="77777777" w:rsidTr="005D61A7">
        <w:trPr>
          <w:jc w:val="center"/>
        </w:trPr>
        <w:tc>
          <w:tcPr>
            <w:tcW w:w="2811" w:type="dxa"/>
          </w:tcPr>
          <w:p w14:paraId="4DA9EFE2" w14:textId="77777777" w:rsidR="005D61A7" w:rsidRPr="006C075B" w:rsidRDefault="005D61A7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Domain</w:t>
            </w:r>
          </w:p>
        </w:tc>
        <w:tc>
          <w:tcPr>
            <w:tcW w:w="2827" w:type="dxa"/>
          </w:tcPr>
          <w:p w14:paraId="0B648374" w14:textId="77777777" w:rsidR="005D61A7" w:rsidRPr="006C075B" w:rsidRDefault="005D61A7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Key Assessment Items</w:t>
            </w:r>
          </w:p>
        </w:tc>
        <w:tc>
          <w:tcPr>
            <w:tcW w:w="2856" w:type="dxa"/>
          </w:tcPr>
          <w:p w14:paraId="2A139E28" w14:textId="5291DF6E" w:rsidR="005D61A7" w:rsidRPr="006C075B" w:rsidRDefault="005D61A7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Example</w:t>
            </w:r>
            <w:r w:rsidR="00B86509" w:rsidRPr="006C07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Measures</w:t>
            </w:r>
            <w:r w:rsidRPr="006C07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/ Tools</w:t>
            </w:r>
          </w:p>
        </w:tc>
      </w:tr>
      <w:tr w:rsidR="004F00A4" w:rsidRPr="006C075B" w14:paraId="20A25A56" w14:textId="77777777" w:rsidTr="005D61A7">
        <w:trPr>
          <w:jc w:val="center"/>
        </w:trPr>
        <w:tc>
          <w:tcPr>
            <w:tcW w:w="2811" w:type="dxa"/>
          </w:tcPr>
          <w:p w14:paraId="2283E608" w14:textId="0C554EBD" w:rsidR="004F00A4" w:rsidRPr="006C075B" w:rsidRDefault="004F00A4" w:rsidP="004F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1st M: Myeloma Status/Matters Most</w:t>
            </w:r>
          </w:p>
        </w:tc>
        <w:tc>
          <w:tcPr>
            <w:tcW w:w="2827" w:type="dxa"/>
          </w:tcPr>
          <w:p w14:paraId="4E38875C" w14:textId="12C3F339" w:rsidR="006C075B" w:rsidRDefault="006C075B" w:rsidP="004F0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 xml:space="preserve">Disease-related assessment: disease biology and risk, disease aggressiveness, end-organ involvement, symptom burden, </w:t>
            </w:r>
            <w:r w:rsidR="007952F1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prior treatment exposure/refractoriness.</w:t>
            </w:r>
          </w:p>
          <w:p w14:paraId="391C938E" w14:textId="1FC826FA" w:rsidR="004F00A4" w:rsidRPr="006C075B" w:rsidRDefault="006C075B" w:rsidP="004F00A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 xml:space="preserve">What matters: patient priorities, goals of care, treatment trade-offs, </w:t>
            </w:r>
            <w:r w:rsidR="007952F1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advance care planning</w:t>
            </w:r>
          </w:p>
        </w:tc>
        <w:tc>
          <w:tcPr>
            <w:tcW w:w="2856" w:type="dxa"/>
          </w:tcPr>
          <w:p w14:paraId="18556F7A" w14:textId="03152329" w:rsidR="004F00A4" w:rsidRPr="006C075B" w:rsidRDefault="006C075B" w:rsidP="004F00A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ISS/R-ISS (or R2-ISS, if used); high-risk cytogenetic abnormalities (e.g., del(17p), t(4;14), t(14;16), gain(1q)); CRAB features/organ involvement; pain assessment; prior lines of therapy and refractory status; patient-stated goals; goals-of-care discussion; ACP documentation (as appropriate)</w:t>
            </w:r>
          </w:p>
        </w:tc>
      </w:tr>
      <w:tr w:rsidR="008F6C01" w:rsidRPr="006C075B" w14:paraId="6ECC4611" w14:textId="77777777" w:rsidTr="005D61A7">
        <w:trPr>
          <w:jc w:val="center"/>
        </w:trPr>
        <w:tc>
          <w:tcPr>
            <w:tcW w:w="2811" w:type="dxa"/>
          </w:tcPr>
          <w:p w14:paraId="0F7065DE" w14:textId="116C41E9" w:rsidR="008F6C01" w:rsidRPr="006C075B" w:rsidRDefault="008F6C01" w:rsidP="008F6C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2nd M: Medications/Modalities</w:t>
            </w:r>
          </w:p>
        </w:tc>
        <w:tc>
          <w:tcPr>
            <w:tcW w:w="2827" w:type="dxa"/>
          </w:tcPr>
          <w:p w14:paraId="6600BA35" w14:textId="6421A7B6" w:rsidR="004F00A4" w:rsidRPr="006C075B" w:rsidRDefault="006C075B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Evidence-based treatment options; treatment eligibility; toxicity risk; regimen complexity; feasibility of delivery; drug–drug interactions; and need for dose adjustment and supportive prophylaxis</w:t>
            </w:r>
          </w:p>
        </w:tc>
        <w:tc>
          <w:tcPr>
            <w:tcW w:w="2856" w:type="dxa"/>
          </w:tcPr>
          <w:p w14:paraId="44F464D0" w14:textId="3AF5E9CF" w:rsidR="004F00A4" w:rsidRPr="006C075B" w:rsidRDefault="006C075B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IMiD</w:t>
            </w:r>
            <w:proofErr w:type="spellEnd"/>
            <w:r w:rsidRPr="006C075B">
              <w:rPr>
                <w:rFonts w:ascii="Times New Roman" w:hAnsi="Times New Roman" w:cs="Times New Roman"/>
                <w:sz w:val="20"/>
                <w:szCs w:val="20"/>
              </w:rPr>
              <w:t xml:space="preserve">-, PI-, and anti-CD38-based regimens; </w:t>
            </w:r>
            <w:r w:rsidR="007952F1" w:rsidRPr="007952F1">
              <w:rPr>
                <w:rFonts w:ascii="Times New Roman" w:hAnsi="Times New Roman" w:cs="Times New Roman"/>
                <w:sz w:val="20"/>
                <w:szCs w:val="20"/>
              </w:rPr>
              <w:t>advanced immunotherapy eligibility (e.g., CAR T-cell therapy, bispecific antibodies)</w:t>
            </w: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; oral vs. IV/SC administration; renal dose adjustment; neuropathy risk assessment; corticosteroid tolerability; VTE prophylaxis review; infection prophylaxis and supportive medications</w:t>
            </w:r>
          </w:p>
        </w:tc>
      </w:tr>
      <w:tr w:rsidR="008F6C01" w:rsidRPr="006C075B" w14:paraId="2768AF97" w14:textId="77777777" w:rsidTr="005D61A7">
        <w:trPr>
          <w:jc w:val="center"/>
        </w:trPr>
        <w:tc>
          <w:tcPr>
            <w:tcW w:w="2811" w:type="dxa"/>
          </w:tcPr>
          <w:p w14:paraId="2DA8F775" w14:textId="260B68CF" w:rsidR="008F6C01" w:rsidRPr="006C075B" w:rsidRDefault="008F6C01" w:rsidP="008F6C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3rd M: Mobility/Multi-morbidity</w:t>
            </w:r>
          </w:p>
        </w:tc>
        <w:tc>
          <w:tcPr>
            <w:tcW w:w="2827" w:type="dxa"/>
          </w:tcPr>
          <w:p w14:paraId="462A11F4" w14:textId="38D947C9" w:rsidR="004F00A4" w:rsidRPr="006C075B" w:rsidRDefault="006C075B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Frailty and functional status; fall risk; comorbidity burden; organ reserve; nutrition; polypharmacy</w:t>
            </w:r>
          </w:p>
        </w:tc>
        <w:tc>
          <w:tcPr>
            <w:tcW w:w="2856" w:type="dxa"/>
          </w:tcPr>
          <w:p w14:paraId="56FF9E4C" w14:textId="4DDC9D3F" w:rsidR="006C075B" w:rsidRPr="006C075B" w:rsidRDefault="006C075B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IMWG frailty score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C07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(preferred disease-specific frailty tool); ADL/IADL; gait speed; SPPB or Timed Up and Go test; comorbidity review/CCI; eGFR; cardiac assessment (as indicated); pulmonary assessment (as indicated); MNA-SF; BMI and </w:t>
            </w:r>
            <w:r w:rsidRPr="006C07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unintentional weight loss; medication review</w:t>
            </w:r>
          </w:p>
        </w:tc>
      </w:tr>
      <w:tr w:rsidR="008F6C01" w:rsidRPr="006C075B" w14:paraId="08302E3D" w14:textId="77777777" w:rsidTr="005D61A7">
        <w:trPr>
          <w:jc w:val="center"/>
        </w:trPr>
        <w:tc>
          <w:tcPr>
            <w:tcW w:w="2811" w:type="dxa"/>
          </w:tcPr>
          <w:p w14:paraId="7624EF7F" w14:textId="3E279F2D" w:rsidR="008F6C01" w:rsidRPr="006C075B" w:rsidRDefault="008F6C01" w:rsidP="008F6C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4th M: Mind (Mental)/Support Members</w:t>
            </w:r>
          </w:p>
        </w:tc>
        <w:tc>
          <w:tcPr>
            <w:tcW w:w="2827" w:type="dxa"/>
          </w:tcPr>
          <w:p w14:paraId="5DF13094" w14:textId="1E417E9B" w:rsidR="006C075B" w:rsidRDefault="006C075B" w:rsidP="008F6C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Mentation: cognition, depression/anxiety, delirium risk, and adherence capacity</w:t>
            </w:r>
            <w:r w:rsidR="007952F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7952F1" w:rsidRPr="007952F1">
              <w:rPr>
                <w:rFonts w:ascii="Times New Roman" w:hAnsi="Times New Roman" w:cs="Times New Roman"/>
                <w:sz w:val="20"/>
                <w:szCs w:val="20"/>
              </w:rPr>
              <w:t>self-management ability</w:t>
            </w: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204CB75" w14:textId="1E05C206" w:rsidR="004F00A4" w:rsidRPr="006C075B" w:rsidRDefault="006C075B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Support system: caregiver availability, social support, transportation, and financial/access barriers</w:t>
            </w:r>
          </w:p>
        </w:tc>
        <w:tc>
          <w:tcPr>
            <w:tcW w:w="2856" w:type="dxa"/>
          </w:tcPr>
          <w:p w14:paraId="0CFE05C6" w14:textId="53A5E3A2" w:rsidR="004F00A4" w:rsidRPr="006C075B" w:rsidRDefault="006C075B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 xml:space="preserve">Mini-Cog or </w:t>
            </w:r>
            <w:proofErr w:type="spellStart"/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MoCA</w:t>
            </w:r>
            <w:proofErr w:type="spellEnd"/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; GDS or PHQ-9; delirium risk screening (when relevant); adherence/medication management review; caregiver assessment; social support/loneliness measures; transportation access; home care/visiting nursing availability</w:t>
            </w:r>
          </w:p>
        </w:tc>
      </w:tr>
      <w:tr w:rsidR="008F6C01" w:rsidRPr="006C075B" w14:paraId="1808461E" w14:textId="77777777" w:rsidTr="005D61A7">
        <w:trPr>
          <w:jc w:val="center"/>
        </w:trPr>
        <w:tc>
          <w:tcPr>
            <w:tcW w:w="2811" w:type="dxa"/>
          </w:tcPr>
          <w:p w14:paraId="3B6A9233" w14:textId="19C516D1" w:rsidR="008F6C01" w:rsidRPr="006C075B" w:rsidRDefault="008F6C01" w:rsidP="008F6C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5th M: Menu</w:t>
            </w:r>
            <w:r w:rsidR="00953D8A" w:rsidRPr="006C075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>Motion</w:t>
            </w:r>
          </w:p>
        </w:tc>
        <w:tc>
          <w:tcPr>
            <w:tcW w:w="2827" w:type="dxa"/>
          </w:tcPr>
          <w:p w14:paraId="02777405" w14:textId="70E65B97" w:rsidR="004F00A4" w:rsidRPr="006C075B" w:rsidRDefault="006C075B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075B">
              <w:rPr>
                <w:rFonts w:ascii="Times New Roman" w:hAnsi="Times New Roman" w:cs="Times New Roman"/>
                <w:sz w:val="20"/>
                <w:szCs w:val="20"/>
              </w:rPr>
              <w:t xml:space="preserve">GA-guided multidisciplinary care planning and implementation: individualized treatment plan, supportive care plan, role assignment, follow-up intensity, </w:t>
            </w:r>
            <w:r w:rsidR="007952F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952F1" w:rsidRPr="007952F1">
              <w:rPr>
                <w:rFonts w:ascii="Times New Roman" w:hAnsi="Times New Roman" w:cs="Times New Roman"/>
                <w:sz w:val="20"/>
                <w:szCs w:val="20"/>
              </w:rPr>
              <w:t>nd triggers for reassessment and treatment modification</w:t>
            </w:r>
          </w:p>
        </w:tc>
        <w:tc>
          <w:tcPr>
            <w:tcW w:w="2856" w:type="dxa"/>
          </w:tcPr>
          <w:p w14:paraId="3BAA86F5" w14:textId="07D08837" w:rsidR="007952F1" w:rsidRPr="006C075B" w:rsidRDefault="007952F1" w:rsidP="008F6C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52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Final treatment plan; toxicity mitigation plan; bone health, infection prevention, and rehabilitation referrals; role assignment within the multidisciplinary care team (e.g., hematology, geriatrics, pharmacy, nursing, rehabilitation, and social work); visit schedule; monitoring plan; predefined triggers for reassessment or treatment modification</w:t>
            </w:r>
          </w:p>
        </w:tc>
      </w:tr>
    </w:tbl>
    <w:p w14:paraId="06DE801B" w14:textId="3AC52F3E" w:rsidR="006C075B" w:rsidRPr="007952F1" w:rsidRDefault="007952F1" w:rsidP="007952F1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US"/>
        </w:rPr>
      </w:pPr>
      <w:r w:rsidRPr="007952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US"/>
        </w:rPr>
        <w:t xml:space="preserve">Abbreviations: ISS, International Staging System; R-ISS, Revised International Staging System; R2-ISS, Second Revision of the International Staging System; CRAB, hypercalcemia, renal insufficiency, anemia, and bone disease; ACP, advance care planning; </w:t>
      </w:r>
      <w:proofErr w:type="spellStart"/>
      <w:r w:rsidRPr="007952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US"/>
        </w:rPr>
        <w:t>IMiD</w:t>
      </w:r>
      <w:proofErr w:type="spellEnd"/>
      <w:r w:rsidRPr="007952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US"/>
        </w:rPr>
        <w:t xml:space="preserve">, immunomodulatory drug; PI, proteasome inhibitor; CAR, chimeric antigen receptor; IV, intravenous; SC, subcutaneous; VTE, venous thromboembolism; IMWG, International Myeloma Working Group; ADL, activities of daily living; IADL, instrumental activities of daily living; SPPB, Short Physical Performance Battery; CCI, </w:t>
      </w:r>
      <w:proofErr w:type="spellStart"/>
      <w:r w:rsidRPr="007952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US"/>
        </w:rPr>
        <w:t>Charlson</w:t>
      </w:r>
      <w:proofErr w:type="spellEnd"/>
      <w:r w:rsidRPr="007952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US"/>
        </w:rPr>
        <w:t xml:space="preserve"> Comorbidity Index; </w:t>
      </w:r>
      <w:r w:rsidRPr="007952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US"/>
        </w:rPr>
        <w:lastRenderedPageBreak/>
        <w:t xml:space="preserve">eGFR, estimated glomerular filtration rate; MNA-SF, Mini Nutritional Assessment–Short Form; BMI, body mass index; </w:t>
      </w:r>
      <w:proofErr w:type="spellStart"/>
      <w:r w:rsidRPr="007952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US"/>
        </w:rPr>
        <w:t>MoCA</w:t>
      </w:r>
      <w:proofErr w:type="spellEnd"/>
      <w:r w:rsidRPr="007952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US"/>
        </w:rPr>
        <w:t>, Montreal Cognitive Assessment; GDS, Geriatric Depression Scale; PHQ-9, Patient Health Questionnaire-9; GA, geriatric assessment.</w:t>
      </w:r>
      <w:r w:rsidR="006C075B" w:rsidRPr="007952F1">
        <w:rPr>
          <w:rFonts w:ascii="Times New Roman" w:hAnsi="Times New Roman" w:cs="Times New Roman"/>
          <w:vanish/>
          <w:sz w:val="20"/>
          <w:szCs w:val="20"/>
        </w:rPr>
        <w:t>フォームの終わり</w:t>
      </w:r>
    </w:p>
    <w:p w14:paraId="3BD21F3C" w14:textId="77777777" w:rsidR="00B86509" w:rsidRPr="007952F1" w:rsidRDefault="00B86509" w:rsidP="005D61A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B86509" w:rsidRPr="007952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4A8310" w14:textId="77777777" w:rsidR="00C77E31" w:rsidRDefault="00C77E31" w:rsidP="00242F4C">
      <w:r>
        <w:separator/>
      </w:r>
    </w:p>
  </w:endnote>
  <w:endnote w:type="continuationSeparator" w:id="0">
    <w:p w14:paraId="7BE5C5FC" w14:textId="77777777" w:rsidR="00C77E31" w:rsidRDefault="00C77E31" w:rsidP="0024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CBF62D" w14:textId="77777777" w:rsidR="00C77E31" w:rsidRDefault="00C77E31" w:rsidP="00242F4C">
      <w:r>
        <w:separator/>
      </w:r>
    </w:p>
  </w:footnote>
  <w:footnote w:type="continuationSeparator" w:id="0">
    <w:p w14:paraId="5BFE20BD" w14:textId="77777777" w:rsidR="00C77E31" w:rsidRDefault="00C77E31" w:rsidP="00242F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A7"/>
    <w:rsid w:val="00015769"/>
    <w:rsid w:val="00054AC1"/>
    <w:rsid w:val="000D115F"/>
    <w:rsid w:val="001D4F60"/>
    <w:rsid w:val="00242F4C"/>
    <w:rsid w:val="00262D74"/>
    <w:rsid w:val="00294CC1"/>
    <w:rsid w:val="003F60C3"/>
    <w:rsid w:val="004F00A4"/>
    <w:rsid w:val="00543E2F"/>
    <w:rsid w:val="005D61A7"/>
    <w:rsid w:val="005E2A84"/>
    <w:rsid w:val="00600EB8"/>
    <w:rsid w:val="00666EBB"/>
    <w:rsid w:val="006C075B"/>
    <w:rsid w:val="006C56CC"/>
    <w:rsid w:val="00703E62"/>
    <w:rsid w:val="007952F1"/>
    <w:rsid w:val="007F625E"/>
    <w:rsid w:val="00867967"/>
    <w:rsid w:val="008C4105"/>
    <w:rsid w:val="008F6C01"/>
    <w:rsid w:val="009361AD"/>
    <w:rsid w:val="009450F4"/>
    <w:rsid w:val="00953D8A"/>
    <w:rsid w:val="009C72FA"/>
    <w:rsid w:val="009D2D63"/>
    <w:rsid w:val="00A15E4C"/>
    <w:rsid w:val="00A67CEF"/>
    <w:rsid w:val="00AC70F3"/>
    <w:rsid w:val="00B74FDF"/>
    <w:rsid w:val="00B81F7C"/>
    <w:rsid w:val="00B86509"/>
    <w:rsid w:val="00BC5646"/>
    <w:rsid w:val="00C77E31"/>
    <w:rsid w:val="00DD1F43"/>
    <w:rsid w:val="00E510DD"/>
    <w:rsid w:val="00E914D5"/>
    <w:rsid w:val="00EB7253"/>
    <w:rsid w:val="00ED4B62"/>
    <w:rsid w:val="00F00BC5"/>
    <w:rsid w:val="00FC189B"/>
    <w:rsid w:val="00FD1760"/>
    <w:rsid w:val="00FD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74E144"/>
  <w15:chartTrackingRefBased/>
  <w15:docId w15:val="{D2869CDC-44ED-E641-926B-E0E71D08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75B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5D61A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61A7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table" w:customStyle="1" w:styleId="11">
    <w:name w:val="表 (格子)1"/>
    <w:basedOn w:val="a1"/>
    <w:next w:val="a3"/>
    <w:uiPriority w:val="59"/>
    <w:rsid w:val="005D61A7"/>
    <w:rPr>
      <w:rFonts w:ascii="Times New Roman" w:eastAsia="Times New Roman" w:hAnsi="Times New Roman"/>
      <w:kern w:val="0"/>
      <w:sz w:val="20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D6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2F4C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a5">
    <w:name w:val="ヘッダー (文字)"/>
    <w:basedOn w:val="a0"/>
    <w:link w:val="a4"/>
    <w:uiPriority w:val="99"/>
    <w:rsid w:val="00242F4C"/>
  </w:style>
  <w:style w:type="paragraph" w:styleId="a6">
    <w:name w:val="footer"/>
    <w:basedOn w:val="a"/>
    <w:link w:val="a7"/>
    <w:uiPriority w:val="99"/>
    <w:unhideWhenUsed/>
    <w:rsid w:val="00242F4C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a7">
    <w:name w:val="フッター (文字)"/>
    <w:basedOn w:val="a0"/>
    <w:link w:val="a6"/>
    <w:uiPriority w:val="99"/>
    <w:rsid w:val="00242F4C"/>
  </w:style>
  <w:style w:type="character" w:styleId="a8">
    <w:name w:val="annotation reference"/>
    <w:basedOn w:val="a0"/>
    <w:uiPriority w:val="99"/>
    <w:semiHidden/>
    <w:unhideWhenUsed/>
    <w:rsid w:val="006C075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C075B"/>
  </w:style>
  <w:style w:type="character" w:customStyle="1" w:styleId="aa">
    <w:name w:val="コメント文字列 (文字)"/>
    <w:basedOn w:val="a0"/>
    <w:link w:val="a9"/>
    <w:uiPriority w:val="99"/>
    <w:semiHidden/>
    <w:rsid w:val="006C075B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C075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C075B"/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6C075B"/>
    <w:rPr>
      <w:rFonts w:ascii="ＭＳ 明朝" w:eastAsia="ＭＳ 明朝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C075B"/>
    <w:rPr>
      <w:rFonts w:ascii="ＭＳ 明朝" w:eastAsia="ＭＳ 明朝" w:hAnsi="ＭＳ Ｐゴシック" w:cs="ＭＳ Ｐゴシック"/>
      <w:kern w:val="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952F1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7952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0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5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5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2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9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20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45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47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01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683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802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930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2618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765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4139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7733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309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7579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45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737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576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050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7390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353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128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07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1231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2026-02-26T00:44:00Z</dcterms:created>
  <dcterms:modified xsi:type="dcterms:W3CDTF">2026-02-26T03:15:00Z</dcterms:modified>
</cp:coreProperties>
</file>